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7B1EED8" w:rsidR="000700AC" w:rsidRPr="00A04F63" w:rsidRDefault="00D169D3">
      <w:pPr>
        <w:pStyle w:val="Kop2"/>
        <w:keepNext w:val="0"/>
        <w:keepLines w:val="0"/>
        <w:shd w:val="clear" w:color="auto" w:fill="FFFFFF"/>
        <w:spacing w:before="0" w:after="80"/>
        <w:rPr>
          <w:b/>
          <w:color w:val="1F1F1F"/>
          <w:sz w:val="34"/>
          <w:szCs w:val="34"/>
          <w:lang w:val="nl-NL"/>
        </w:rPr>
      </w:pPr>
      <w:r>
        <w:rPr>
          <w:b/>
          <w:color w:val="1F1F1F"/>
          <w:sz w:val="34"/>
          <w:szCs w:val="34"/>
          <w:lang w:val="nl-NL"/>
        </w:rPr>
        <w:t>Leeswijzer</w:t>
      </w:r>
      <w:r w:rsidR="00A04F63" w:rsidRPr="00A04F63">
        <w:rPr>
          <w:b/>
          <w:color w:val="1F1F1F"/>
          <w:sz w:val="34"/>
          <w:szCs w:val="34"/>
          <w:lang w:val="nl-NL"/>
        </w:rPr>
        <w:t xml:space="preserve"> Overzicht Relevante Europese Wetgeving Cyber</w:t>
      </w:r>
      <w:r w:rsidR="009609DF">
        <w:rPr>
          <w:b/>
          <w:color w:val="1F1F1F"/>
          <w:sz w:val="34"/>
          <w:szCs w:val="34"/>
          <w:lang w:val="nl-NL"/>
        </w:rPr>
        <w:t>s</w:t>
      </w:r>
      <w:r w:rsidR="00A04F63" w:rsidRPr="00A04F63">
        <w:rPr>
          <w:b/>
          <w:color w:val="1F1F1F"/>
          <w:sz w:val="34"/>
          <w:szCs w:val="34"/>
          <w:lang w:val="nl-NL"/>
        </w:rPr>
        <w:t>ecurity</w:t>
      </w:r>
    </w:p>
    <w:p w14:paraId="00000002" w14:textId="77777777" w:rsidR="000700AC" w:rsidRPr="00A04F63" w:rsidRDefault="00A04F63">
      <w:pPr>
        <w:shd w:val="clear" w:color="auto" w:fill="FFFFFF"/>
        <w:spacing w:before="240" w:after="240"/>
        <w:rPr>
          <w:b/>
          <w:color w:val="1F1F1F"/>
          <w:sz w:val="24"/>
          <w:szCs w:val="24"/>
          <w:lang w:val="nl-NL"/>
        </w:rPr>
      </w:pPr>
      <w:r w:rsidRPr="00A04F63">
        <w:rPr>
          <w:b/>
          <w:color w:val="1F1F1F"/>
          <w:sz w:val="24"/>
          <w:szCs w:val="24"/>
          <w:lang w:val="nl-NL"/>
        </w:rPr>
        <w:t>Doel</w:t>
      </w:r>
    </w:p>
    <w:p w14:paraId="00000003" w14:textId="173A8A12" w:rsidR="000700AC" w:rsidRPr="00A04F63" w:rsidRDefault="00A04F63">
      <w:pPr>
        <w:shd w:val="clear" w:color="auto" w:fill="FFFFFF"/>
        <w:spacing w:before="240" w:after="240"/>
        <w:rPr>
          <w:color w:val="1F1F1F"/>
          <w:sz w:val="24"/>
          <w:szCs w:val="24"/>
          <w:lang w:val="nl-NL"/>
        </w:rPr>
      </w:pPr>
      <w:r w:rsidRPr="00A04F63">
        <w:rPr>
          <w:color w:val="1F1F1F"/>
          <w:sz w:val="24"/>
          <w:szCs w:val="24"/>
          <w:lang w:val="nl-NL"/>
        </w:rPr>
        <w:t xml:space="preserve">Deze </w:t>
      </w:r>
      <w:r w:rsidR="00D169D3">
        <w:rPr>
          <w:color w:val="1F1F1F"/>
          <w:sz w:val="24"/>
          <w:szCs w:val="24"/>
          <w:lang w:val="nl-NL"/>
        </w:rPr>
        <w:t>leeswijzer</w:t>
      </w:r>
      <w:r w:rsidRPr="00A04F63">
        <w:rPr>
          <w:color w:val="1F1F1F"/>
          <w:sz w:val="24"/>
          <w:szCs w:val="24"/>
          <w:lang w:val="nl-NL"/>
        </w:rPr>
        <w:t xml:space="preserve"> verduidelijkt het doel en de reikwijdte van het overzicht van relevante Europese wetgeving met betrekking tot cybersecurity, data en aanpalende onderwerpen. Het beoogt een snelle en eenvoudige toegang te bieden tot de meest prominente wetgeving in dit domein, met nadruk op de connectie met NOREA publicaties en hulpmiddelen.</w:t>
      </w:r>
    </w:p>
    <w:p w14:paraId="00000004" w14:textId="77777777" w:rsidR="000700AC" w:rsidRPr="00A04F63" w:rsidRDefault="00A04F63">
      <w:pPr>
        <w:shd w:val="clear" w:color="auto" w:fill="FFFFFF"/>
        <w:spacing w:before="240" w:after="240"/>
        <w:rPr>
          <w:b/>
          <w:color w:val="1F1F1F"/>
          <w:sz w:val="24"/>
          <w:szCs w:val="24"/>
          <w:lang w:val="nl-NL"/>
        </w:rPr>
      </w:pPr>
      <w:r w:rsidRPr="00A04F63">
        <w:rPr>
          <w:b/>
          <w:color w:val="1F1F1F"/>
          <w:sz w:val="24"/>
          <w:szCs w:val="24"/>
          <w:lang w:val="nl-NL"/>
        </w:rPr>
        <w:t>Achtergrond</w:t>
      </w:r>
    </w:p>
    <w:p w14:paraId="00000005" w14:textId="4717E234" w:rsidR="000700AC" w:rsidRPr="00A04F63" w:rsidRDefault="00A04F63">
      <w:pPr>
        <w:shd w:val="clear" w:color="auto" w:fill="FFFFFF"/>
        <w:spacing w:before="240" w:after="240"/>
        <w:rPr>
          <w:color w:val="1F1F1F"/>
          <w:sz w:val="24"/>
          <w:szCs w:val="24"/>
          <w:lang w:val="nl-NL"/>
        </w:rPr>
      </w:pPr>
      <w:r w:rsidRPr="00A04F63">
        <w:rPr>
          <w:color w:val="1F1F1F"/>
          <w:sz w:val="24"/>
          <w:szCs w:val="24"/>
          <w:lang w:val="nl-NL"/>
        </w:rPr>
        <w:t>De complexiteit van de Europese wetgeving, met meer dan 2000 wetten en richtlijnen, maakt het navigeren door dit landschap uitdagend. De NOREA Kennisgroep Cyber</w:t>
      </w:r>
      <w:r w:rsidR="009609DF">
        <w:rPr>
          <w:color w:val="1F1F1F"/>
          <w:sz w:val="24"/>
          <w:szCs w:val="24"/>
          <w:lang w:val="nl-NL"/>
        </w:rPr>
        <w:t>se</w:t>
      </w:r>
      <w:r w:rsidRPr="00A04F63">
        <w:rPr>
          <w:color w:val="1F1F1F"/>
          <w:sz w:val="24"/>
          <w:szCs w:val="24"/>
          <w:lang w:val="nl-NL"/>
        </w:rPr>
        <w:t>curity heeft daarom een selectie gemaakt van de meest relevante wetgeving met betrekking tot cybersecurity op basis van hun expertise.</w:t>
      </w:r>
    </w:p>
    <w:p w14:paraId="00000006" w14:textId="77777777" w:rsidR="000700AC" w:rsidRPr="00A04F63" w:rsidRDefault="00A04F63">
      <w:pPr>
        <w:shd w:val="clear" w:color="auto" w:fill="FFFFFF"/>
        <w:spacing w:before="240" w:after="240"/>
        <w:rPr>
          <w:b/>
          <w:color w:val="1F1F1F"/>
          <w:sz w:val="24"/>
          <w:szCs w:val="24"/>
          <w:lang w:val="nl-NL"/>
        </w:rPr>
      </w:pPr>
      <w:r w:rsidRPr="00A04F63">
        <w:rPr>
          <w:b/>
          <w:color w:val="1F1F1F"/>
          <w:sz w:val="24"/>
          <w:szCs w:val="24"/>
          <w:lang w:val="nl-NL"/>
        </w:rPr>
        <w:t>Doelgroep</w:t>
      </w:r>
    </w:p>
    <w:p w14:paraId="00000007" w14:textId="7A4DB044" w:rsidR="000700AC" w:rsidRPr="00A04F63" w:rsidRDefault="00A04F63">
      <w:pPr>
        <w:shd w:val="clear" w:color="auto" w:fill="FFFFFF"/>
        <w:spacing w:before="240" w:after="240"/>
        <w:rPr>
          <w:color w:val="1F1F1F"/>
          <w:sz w:val="24"/>
          <w:szCs w:val="24"/>
          <w:lang w:val="nl-NL"/>
        </w:rPr>
      </w:pPr>
      <w:r w:rsidRPr="00A04F63">
        <w:rPr>
          <w:color w:val="1F1F1F"/>
          <w:sz w:val="24"/>
          <w:szCs w:val="24"/>
          <w:lang w:val="nl-NL"/>
        </w:rPr>
        <w:t>Dit overzicht is bedoeld voor professionals die zich bezighouden met cybersecurity, data en aanpalende onderwerpen, en die behoefte hebben aan een beknopt en praktisch overzicht van de relevante Europese wetgeving.</w:t>
      </w:r>
    </w:p>
    <w:p w14:paraId="00000008" w14:textId="77777777" w:rsidR="000700AC" w:rsidRPr="00A04F63" w:rsidRDefault="00A04F63">
      <w:pPr>
        <w:shd w:val="clear" w:color="auto" w:fill="FFFFFF"/>
        <w:spacing w:before="240" w:after="240"/>
        <w:rPr>
          <w:b/>
          <w:color w:val="1F1F1F"/>
          <w:sz w:val="24"/>
          <w:szCs w:val="24"/>
          <w:lang w:val="nl-NL"/>
        </w:rPr>
      </w:pPr>
      <w:r w:rsidRPr="00A04F63">
        <w:rPr>
          <w:b/>
          <w:color w:val="1F1F1F"/>
          <w:sz w:val="24"/>
          <w:szCs w:val="24"/>
          <w:lang w:val="nl-NL"/>
        </w:rPr>
        <w:t>Inhoud</w:t>
      </w:r>
    </w:p>
    <w:p w14:paraId="00000009" w14:textId="77777777" w:rsidR="000700AC" w:rsidRPr="00A04F63" w:rsidRDefault="00A04F63">
      <w:pPr>
        <w:shd w:val="clear" w:color="auto" w:fill="FFFFFF"/>
        <w:spacing w:before="240" w:after="240"/>
        <w:rPr>
          <w:color w:val="1F1F1F"/>
          <w:sz w:val="24"/>
          <w:szCs w:val="24"/>
          <w:lang w:val="nl-NL"/>
        </w:rPr>
      </w:pPr>
      <w:r w:rsidRPr="00A04F63">
        <w:rPr>
          <w:color w:val="1F1F1F"/>
          <w:sz w:val="24"/>
          <w:szCs w:val="24"/>
          <w:lang w:val="nl-NL"/>
        </w:rPr>
        <w:t>Het overzicht omvat de volgende onderdelen:</w:t>
      </w:r>
    </w:p>
    <w:p w14:paraId="0000000A" w14:textId="77777777" w:rsidR="000700AC" w:rsidRPr="00A04F63" w:rsidRDefault="00A04F63">
      <w:pPr>
        <w:numPr>
          <w:ilvl w:val="0"/>
          <w:numId w:val="2"/>
        </w:numPr>
        <w:shd w:val="clear" w:color="auto" w:fill="FFFFFF"/>
        <w:spacing w:before="60"/>
        <w:ind w:left="940"/>
        <w:rPr>
          <w:lang w:val="nl-NL"/>
        </w:rPr>
      </w:pPr>
      <w:r w:rsidRPr="00A04F63">
        <w:rPr>
          <w:b/>
          <w:color w:val="1F1F1F"/>
          <w:sz w:val="24"/>
          <w:szCs w:val="24"/>
          <w:lang w:val="nl-NL"/>
        </w:rPr>
        <w:t>Overzicht van de geselecteerde wetgeving:</w:t>
      </w:r>
    </w:p>
    <w:p w14:paraId="0000000B" w14:textId="77777777" w:rsidR="000700AC" w:rsidRPr="00A04F63" w:rsidRDefault="00A04F63">
      <w:pPr>
        <w:numPr>
          <w:ilvl w:val="1"/>
          <w:numId w:val="2"/>
        </w:numPr>
        <w:ind w:left="1880"/>
        <w:rPr>
          <w:lang w:val="nl-NL"/>
        </w:rPr>
      </w:pPr>
      <w:r w:rsidRPr="00A04F63">
        <w:rPr>
          <w:color w:val="1F1F1F"/>
          <w:sz w:val="24"/>
          <w:szCs w:val="24"/>
          <w:lang w:val="nl-NL"/>
        </w:rPr>
        <w:t>Wetten en richtlijnen met een beknopte beschrijving van hun doelstellingen en reikwijdte.</w:t>
      </w:r>
    </w:p>
    <w:p w14:paraId="0000000C" w14:textId="11701692" w:rsidR="000700AC" w:rsidRDefault="00A04F63">
      <w:pPr>
        <w:numPr>
          <w:ilvl w:val="1"/>
          <w:numId w:val="2"/>
        </w:numPr>
        <w:ind w:left="1880"/>
      </w:pPr>
      <w:r>
        <w:rPr>
          <w:color w:val="1F1F1F"/>
          <w:sz w:val="24"/>
          <w:szCs w:val="24"/>
        </w:rPr>
        <w:t>Categorieën: cybersecurity, data, privacy, e-commerce, etc.</w:t>
      </w:r>
    </w:p>
    <w:p w14:paraId="0000000D" w14:textId="77777777" w:rsidR="000700AC" w:rsidRPr="00A04F63" w:rsidRDefault="00A04F63">
      <w:pPr>
        <w:numPr>
          <w:ilvl w:val="0"/>
          <w:numId w:val="2"/>
        </w:numPr>
        <w:shd w:val="clear" w:color="auto" w:fill="FFFFFF"/>
        <w:ind w:left="940"/>
        <w:rPr>
          <w:lang w:val="nl-NL"/>
        </w:rPr>
      </w:pPr>
      <w:r w:rsidRPr="00A04F63">
        <w:rPr>
          <w:b/>
          <w:color w:val="1F1F1F"/>
          <w:sz w:val="24"/>
          <w:szCs w:val="24"/>
          <w:lang w:val="nl-NL"/>
        </w:rPr>
        <w:t>Koppelingen naar NOREA publicaties en hulpmiddelen:</w:t>
      </w:r>
    </w:p>
    <w:p w14:paraId="0000000E" w14:textId="77777777" w:rsidR="000700AC" w:rsidRPr="00A04F63" w:rsidRDefault="00A04F63">
      <w:pPr>
        <w:numPr>
          <w:ilvl w:val="1"/>
          <w:numId w:val="2"/>
        </w:numPr>
        <w:ind w:left="1880"/>
        <w:rPr>
          <w:lang w:val="nl-NL"/>
        </w:rPr>
      </w:pPr>
      <w:r w:rsidRPr="00A04F63">
        <w:rPr>
          <w:color w:val="1F1F1F"/>
          <w:sz w:val="24"/>
          <w:szCs w:val="24"/>
          <w:lang w:val="nl-NL"/>
        </w:rPr>
        <w:t>Verwijzingen naar relevante NOREA studies, rapporten, brochures, tools en andere resources.</w:t>
      </w:r>
    </w:p>
    <w:p w14:paraId="0000000F" w14:textId="77777777" w:rsidR="000700AC" w:rsidRDefault="00A04F63">
      <w:pPr>
        <w:numPr>
          <w:ilvl w:val="0"/>
          <w:numId w:val="2"/>
        </w:numPr>
        <w:shd w:val="clear" w:color="auto" w:fill="FFFFFF"/>
        <w:ind w:left="940"/>
      </w:pPr>
      <w:r>
        <w:rPr>
          <w:b/>
          <w:color w:val="1F1F1F"/>
          <w:sz w:val="24"/>
          <w:szCs w:val="24"/>
        </w:rPr>
        <w:t>Informatie over updates:</w:t>
      </w:r>
    </w:p>
    <w:p w14:paraId="00000010" w14:textId="77777777" w:rsidR="000700AC" w:rsidRPr="00A04F63" w:rsidRDefault="00A04F63">
      <w:pPr>
        <w:numPr>
          <w:ilvl w:val="1"/>
          <w:numId w:val="2"/>
        </w:numPr>
        <w:spacing w:after="120"/>
        <w:ind w:left="1880"/>
        <w:rPr>
          <w:lang w:val="nl-NL"/>
        </w:rPr>
      </w:pPr>
      <w:r w:rsidRPr="00A04F63">
        <w:rPr>
          <w:color w:val="1F1F1F"/>
          <w:sz w:val="24"/>
          <w:szCs w:val="24"/>
          <w:lang w:val="nl-NL"/>
        </w:rPr>
        <w:t>Dit is een "levend document" dat periodiek (minimaal 1x per jaar) wordt geactualiseerd door de Kennisgroep.</w:t>
      </w:r>
    </w:p>
    <w:p w14:paraId="00000011" w14:textId="77777777" w:rsidR="000700AC" w:rsidRPr="00A04F63" w:rsidRDefault="00A04F63">
      <w:pPr>
        <w:shd w:val="clear" w:color="auto" w:fill="FFFFFF"/>
        <w:spacing w:before="240" w:after="240"/>
        <w:rPr>
          <w:b/>
          <w:color w:val="1F1F1F"/>
          <w:sz w:val="24"/>
          <w:szCs w:val="24"/>
          <w:lang w:val="nl-NL"/>
        </w:rPr>
      </w:pPr>
      <w:r w:rsidRPr="00A04F63">
        <w:rPr>
          <w:b/>
          <w:color w:val="1F1F1F"/>
          <w:sz w:val="24"/>
          <w:szCs w:val="24"/>
          <w:lang w:val="nl-NL"/>
        </w:rPr>
        <w:t>Gebruik</w:t>
      </w:r>
    </w:p>
    <w:p w14:paraId="00000012" w14:textId="77777777" w:rsidR="000700AC" w:rsidRPr="00A04F63" w:rsidRDefault="00A04F63">
      <w:pPr>
        <w:shd w:val="clear" w:color="auto" w:fill="FFFFFF"/>
        <w:spacing w:before="240" w:after="240"/>
        <w:rPr>
          <w:color w:val="1F1F1F"/>
          <w:sz w:val="24"/>
          <w:szCs w:val="24"/>
          <w:lang w:val="nl-NL"/>
        </w:rPr>
      </w:pPr>
      <w:r w:rsidRPr="00A04F63">
        <w:rPr>
          <w:color w:val="1F1F1F"/>
          <w:sz w:val="24"/>
          <w:szCs w:val="24"/>
          <w:lang w:val="nl-NL"/>
        </w:rPr>
        <w:t>Het overzicht kan op verschillende manieren worden gebruikt:</w:t>
      </w:r>
    </w:p>
    <w:p w14:paraId="00000013" w14:textId="77777777" w:rsidR="000700AC" w:rsidRDefault="00A04F63">
      <w:pPr>
        <w:numPr>
          <w:ilvl w:val="0"/>
          <w:numId w:val="1"/>
        </w:numPr>
        <w:shd w:val="clear" w:color="auto" w:fill="FFFFFF"/>
        <w:spacing w:before="60"/>
        <w:ind w:left="940"/>
      </w:pPr>
      <w:r>
        <w:rPr>
          <w:b/>
          <w:color w:val="1F1F1F"/>
          <w:sz w:val="24"/>
          <w:szCs w:val="24"/>
        </w:rPr>
        <w:t>Als referentiekader:</w:t>
      </w:r>
    </w:p>
    <w:p w14:paraId="00000014" w14:textId="141E87E1" w:rsidR="000700AC" w:rsidRPr="00A04F63" w:rsidRDefault="00A04F63">
      <w:pPr>
        <w:numPr>
          <w:ilvl w:val="1"/>
          <w:numId w:val="1"/>
        </w:numPr>
        <w:ind w:left="1880"/>
        <w:rPr>
          <w:lang w:val="nl-NL"/>
        </w:rPr>
      </w:pPr>
      <w:r w:rsidRPr="00A04F63">
        <w:rPr>
          <w:color w:val="1F1F1F"/>
          <w:sz w:val="24"/>
          <w:szCs w:val="24"/>
          <w:lang w:val="nl-NL"/>
        </w:rPr>
        <w:t>Snelle toegang tot de meest relevante Europese wetgeving inzake cybersecurity, data en aanpalende onderwerpen.</w:t>
      </w:r>
    </w:p>
    <w:p w14:paraId="00000015" w14:textId="77777777" w:rsidR="000700AC" w:rsidRPr="00A04F63" w:rsidRDefault="00A04F63">
      <w:pPr>
        <w:numPr>
          <w:ilvl w:val="0"/>
          <w:numId w:val="1"/>
        </w:numPr>
        <w:shd w:val="clear" w:color="auto" w:fill="FFFFFF"/>
        <w:ind w:left="940"/>
        <w:rPr>
          <w:lang w:val="nl-NL"/>
        </w:rPr>
      </w:pPr>
      <w:r w:rsidRPr="00A04F63">
        <w:rPr>
          <w:b/>
          <w:color w:val="1F1F1F"/>
          <w:sz w:val="24"/>
          <w:szCs w:val="24"/>
          <w:lang w:val="nl-NL"/>
        </w:rPr>
        <w:lastRenderedPageBreak/>
        <w:t>Als startpunt voor verdere verdieping:</w:t>
      </w:r>
    </w:p>
    <w:p w14:paraId="00000016" w14:textId="77777777" w:rsidR="000700AC" w:rsidRPr="00A04F63" w:rsidRDefault="00A04F63">
      <w:pPr>
        <w:numPr>
          <w:ilvl w:val="1"/>
          <w:numId w:val="1"/>
        </w:numPr>
        <w:ind w:left="1880"/>
        <w:rPr>
          <w:lang w:val="nl-NL"/>
        </w:rPr>
      </w:pPr>
      <w:r w:rsidRPr="00A04F63">
        <w:rPr>
          <w:color w:val="1F1F1F"/>
          <w:sz w:val="24"/>
          <w:szCs w:val="24"/>
          <w:lang w:val="nl-NL"/>
        </w:rPr>
        <w:t>De beschrijvingen en koppelingen in het overzicht leiden naar meer gedetailleerde informatie over de geselecteerde wetgeving.</w:t>
      </w:r>
    </w:p>
    <w:p w14:paraId="00000017" w14:textId="77777777" w:rsidR="000700AC" w:rsidRPr="00A04F63" w:rsidRDefault="00A04F63">
      <w:pPr>
        <w:numPr>
          <w:ilvl w:val="0"/>
          <w:numId w:val="1"/>
        </w:numPr>
        <w:shd w:val="clear" w:color="auto" w:fill="FFFFFF"/>
        <w:ind w:left="940"/>
        <w:rPr>
          <w:lang w:val="nl-NL"/>
        </w:rPr>
      </w:pPr>
      <w:r w:rsidRPr="00A04F63">
        <w:rPr>
          <w:b/>
          <w:color w:val="1F1F1F"/>
          <w:sz w:val="24"/>
          <w:szCs w:val="24"/>
          <w:lang w:val="nl-NL"/>
        </w:rPr>
        <w:t>Als bron voor NOREA publicaties en hulpmiddelen:</w:t>
      </w:r>
    </w:p>
    <w:p w14:paraId="00000018" w14:textId="77777777" w:rsidR="000700AC" w:rsidRPr="00A04F63" w:rsidRDefault="00A04F63">
      <w:pPr>
        <w:numPr>
          <w:ilvl w:val="1"/>
          <w:numId w:val="1"/>
        </w:numPr>
        <w:spacing w:after="120"/>
        <w:ind w:left="1880"/>
        <w:rPr>
          <w:lang w:val="nl-NL"/>
        </w:rPr>
      </w:pPr>
      <w:r w:rsidRPr="00A04F63">
        <w:rPr>
          <w:color w:val="1F1F1F"/>
          <w:sz w:val="24"/>
          <w:szCs w:val="24"/>
          <w:lang w:val="nl-NL"/>
        </w:rPr>
        <w:t>Toegang tot relevante NOREA expertise en ondersteuning.</w:t>
      </w:r>
    </w:p>
    <w:p w14:paraId="00000019" w14:textId="77777777" w:rsidR="000700AC" w:rsidRPr="00A04F63" w:rsidRDefault="00A04F63">
      <w:pPr>
        <w:shd w:val="clear" w:color="auto" w:fill="FFFFFF"/>
        <w:spacing w:before="240" w:after="240"/>
        <w:rPr>
          <w:b/>
          <w:color w:val="1F1F1F"/>
          <w:sz w:val="24"/>
          <w:szCs w:val="24"/>
          <w:lang w:val="nl-NL"/>
        </w:rPr>
      </w:pPr>
      <w:r w:rsidRPr="00A04F63">
        <w:rPr>
          <w:b/>
          <w:color w:val="1F1F1F"/>
          <w:sz w:val="24"/>
          <w:szCs w:val="24"/>
          <w:lang w:val="nl-NL"/>
        </w:rPr>
        <w:t>Feedback</w:t>
      </w:r>
    </w:p>
    <w:p w14:paraId="0000001A" w14:textId="77777777" w:rsidR="000700AC" w:rsidRPr="00A04F63" w:rsidRDefault="00A04F63">
      <w:pPr>
        <w:shd w:val="clear" w:color="auto" w:fill="FFFFFF"/>
        <w:spacing w:before="240" w:after="240"/>
        <w:rPr>
          <w:color w:val="1F1F1F"/>
          <w:sz w:val="24"/>
          <w:szCs w:val="24"/>
          <w:lang w:val="nl-NL"/>
        </w:rPr>
      </w:pPr>
      <w:r w:rsidRPr="00A04F63">
        <w:rPr>
          <w:color w:val="1F1F1F"/>
          <w:sz w:val="24"/>
          <w:szCs w:val="24"/>
          <w:lang w:val="nl-NL"/>
        </w:rPr>
        <w:t>Aanvullingen en suggesties op het overzicht zijn welkom en kunnen via het NOREA secretariaat met de Kennisgroep worden gedeeld.</w:t>
      </w:r>
    </w:p>
    <w:p w14:paraId="0000001B" w14:textId="3BB4BB76" w:rsidR="000700AC" w:rsidRPr="00A04F63" w:rsidRDefault="00A04F63">
      <w:pPr>
        <w:shd w:val="clear" w:color="auto" w:fill="FFFFFF"/>
        <w:spacing w:before="240" w:after="240"/>
        <w:rPr>
          <w:b/>
          <w:color w:val="1F1F1F"/>
          <w:sz w:val="24"/>
          <w:szCs w:val="24"/>
          <w:lang w:val="nl-NL"/>
        </w:rPr>
      </w:pPr>
      <w:r w:rsidRPr="00A04F63">
        <w:rPr>
          <w:b/>
          <w:color w:val="1F1F1F"/>
          <w:sz w:val="24"/>
          <w:szCs w:val="24"/>
          <w:lang w:val="nl-NL"/>
        </w:rPr>
        <w:t>NOREA Kennisgroep Cyber</w:t>
      </w:r>
      <w:r w:rsidR="009609DF">
        <w:rPr>
          <w:b/>
          <w:color w:val="1F1F1F"/>
          <w:sz w:val="24"/>
          <w:szCs w:val="24"/>
          <w:lang w:val="nl-NL"/>
        </w:rPr>
        <w:t>s</w:t>
      </w:r>
      <w:r w:rsidRPr="00A04F63">
        <w:rPr>
          <w:b/>
          <w:color w:val="1F1F1F"/>
          <w:sz w:val="24"/>
          <w:szCs w:val="24"/>
          <w:lang w:val="nl-NL"/>
        </w:rPr>
        <w:t>ecurity</w:t>
      </w:r>
    </w:p>
    <w:p w14:paraId="0000001C" w14:textId="1847EC6D" w:rsidR="000700AC" w:rsidRPr="00A04F63" w:rsidRDefault="00A04F63">
      <w:pPr>
        <w:shd w:val="clear" w:color="auto" w:fill="FFFFFF"/>
        <w:spacing w:before="240" w:after="240"/>
        <w:rPr>
          <w:color w:val="1F1F1F"/>
          <w:sz w:val="24"/>
          <w:szCs w:val="24"/>
          <w:lang w:val="nl-NL"/>
        </w:rPr>
      </w:pPr>
      <w:r w:rsidRPr="00A04F63">
        <w:rPr>
          <w:color w:val="1F1F1F"/>
          <w:sz w:val="24"/>
          <w:szCs w:val="24"/>
          <w:lang w:val="nl-NL"/>
        </w:rPr>
        <w:t>De NOREA Kennisgroep Cyber</w:t>
      </w:r>
      <w:r w:rsidR="009609DF">
        <w:rPr>
          <w:color w:val="1F1F1F"/>
          <w:sz w:val="24"/>
          <w:szCs w:val="24"/>
          <w:lang w:val="nl-NL"/>
        </w:rPr>
        <w:t>s</w:t>
      </w:r>
      <w:r w:rsidRPr="00A04F63">
        <w:rPr>
          <w:color w:val="1F1F1F"/>
          <w:sz w:val="24"/>
          <w:szCs w:val="24"/>
          <w:lang w:val="nl-NL"/>
        </w:rPr>
        <w:t>ecurity is een platform voor kennisdeling en samenwerking tussen professionals in het publieke en private domein. De Kennisgroep organiseert workshops, bijeenkomsten en trainingen, en publiceert studies en rapporten over actuele thema's inzake cyber</w:t>
      </w:r>
      <w:r w:rsidR="009609DF">
        <w:rPr>
          <w:color w:val="1F1F1F"/>
          <w:sz w:val="24"/>
          <w:szCs w:val="24"/>
          <w:lang w:val="nl-NL"/>
        </w:rPr>
        <w:t>s</w:t>
      </w:r>
      <w:r w:rsidRPr="00A04F63">
        <w:rPr>
          <w:color w:val="1F1F1F"/>
          <w:sz w:val="24"/>
          <w:szCs w:val="24"/>
          <w:lang w:val="nl-NL"/>
        </w:rPr>
        <w:t>security.</w:t>
      </w:r>
    </w:p>
    <w:p w14:paraId="0000001D" w14:textId="77777777" w:rsidR="000700AC" w:rsidRPr="00A04F63" w:rsidRDefault="00A04F63">
      <w:pPr>
        <w:shd w:val="clear" w:color="auto" w:fill="FFFFFF"/>
        <w:spacing w:before="240" w:after="240"/>
        <w:rPr>
          <w:b/>
          <w:color w:val="1F1F1F"/>
          <w:sz w:val="24"/>
          <w:szCs w:val="24"/>
          <w:lang w:val="nl-NL"/>
        </w:rPr>
      </w:pPr>
      <w:r w:rsidRPr="00A04F63">
        <w:rPr>
          <w:b/>
          <w:color w:val="1F1F1F"/>
          <w:sz w:val="24"/>
          <w:szCs w:val="24"/>
          <w:lang w:val="nl-NL"/>
        </w:rPr>
        <w:t>NOREA</w:t>
      </w:r>
    </w:p>
    <w:p w14:paraId="0000001E" w14:textId="647B827E" w:rsidR="000700AC" w:rsidRPr="00A04F63" w:rsidRDefault="00A04F63">
      <w:pPr>
        <w:shd w:val="clear" w:color="auto" w:fill="FFFFFF"/>
        <w:spacing w:before="240" w:after="240"/>
        <w:rPr>
          <w:color w:val="1F1F1F"/>
          <w:sz w:val="24"/>
          <w:szCs w:val="24"/>
          <w:lang w:val="nl-NL"/>
        </w:rPr>
      </w:pPr>
      <w:r w:rsidRPr="00A04F63">
        <w:rPr>
          <w:color w:val="1F1F1F"/>
          <w:sz w:val="24"/>
          <w:szCs w:val="24"/>
          <w:lang w:val="nl-NL"/>
        </w:rPr>
        <w:t xml:space="preserve">NOREA is een </w:t>
      </w:r>
      <w:r>
        <w:rPr>
          <w:color w:val="1F1F1F"/>
          <w:sz w:val="24"/>
          <w:szCs w:val="24"/>
          <w:lang w:val="nl-NL"/>
        </w:rPr>
        <w:t xml:space="preserve">vereniging met als doelstelling het bevorderen van de kwaliteit van de beroepsuitoefening, het bevorderen van de ontwikkeling van het vakgebied en het behartigen van de gemeenschappelijke belangen van de leden. </w:t>
      </w:r>
    </w:p>
    <w:p w14:paraId="0000001F" w14:textId="77777777" w:rsidR="000700AC" w:rsidRPr="00A04F63" w:rsidRDefault="00A04F63">
      <w:pPr>
        <w:shd w:val="clear" w:color="auto" w:fill="FFFFFF"/>
        <w:spacing w:before="240" w:after="240"/>
        <w:rPr>
          <w:b/>
          <w:color w:val="1F1F1F"/>
          <w:sz w:val="24"/>
          <w:szCs w:val="24"/>
          <w:lang w:val="nl-NL"/>
        </w:rPr>
      </w:pPr>
      <w:r w:rsidRPr="00A04F63">
        <w:rPr>
          <w:b/>
          <w:color w:val="1F1F1F"/>
          <w:sz w:val="24"/>
          <w:szCs w:val="24"/>
          <w:lang w:val="nl-NL"/>
        </w:rPr>
        <w:t>Disclaimer</w:t>
      </w:r>
    </w:p>
    <w:p w14:paraId="00000020" w14:textId="77777777" w:rsidR="000700AC" w:rsidRPr="00A04F63" w:rsidRDefault="00A04F63">
      <w:pPr>
        <w:shd w:val="clear" w:color="auto" w:fill="FFFFFF"/>
        <w:spacing w:before="240" w:after="240"/>
        <w:rPr>
          <w:color w:val="1F1F1F"/>
          <w:sz w:val="24"/>
          <w:szCs w:val="24"/>
          <w:lang w:val="nl-NL"/>
        </w:rPr>
      </w:pPr>
      <w:r w:rsidRPr="00A04F63">
        <w:rPr>
          <w:color w:val="1F1F1F"/>
          <w:sz w:val="24"/>
          <w:szCs w:val="24"/>
          <w:lang w:val="nl-NL"/>
        </w:rPr>
        <w:t>Dit overzicht is een informatief document en beoogt geen juridisch advies te geven. Raadpleeg altijd een expert voor de interpretatie en toepassing van wetgeving.</w:t>
      </w:r>
    </w:p>
    <w:p w14:paraId="00000021" w14:textId="77777777" w:rsidR="000700AC" w:rsidRPr="00A04F63" w:rsidRDefault="000700AC">
      <w:pPr>
        <w:rPr>
          <w:lang w:val="nl-NL"/>
        </w:rPr>
      </w:pPr>
    </w:p>
    <w:sectPr w:rsidR="000700AC" w:rsidRPr="00A04F6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625CE"/>
    <w:multiLevelType w:val="multilevel"/>
    <w:tmpl w:val="0C7088C0"/>
    <w:lvl w:ilvl="0">
      <w:start w:val="1"/>
      <w:numFmt w:val="bullet"/>
      <w:lvlText w:val="●"/>
      <w:lvlJc w:val="left"/>
      <w:pPr>
        <w:ind w:left="720" w:hanging="360"/>
      </w:pPr>
      <w:rPr>
        <w:rFonts w:ascii="Arial" w:eastAsia="Arial" w:hAnsi="Arial" w:cs="Arial"/>
        <w:color w:val="1F1F1F"/>
        <w:sz w:val="24"/>
        <w:szCs w:val="24"/>
        <w:u w:val="none"/>
      </w:rPr>
    </w:lvl>
    <w:lvl w:ilvl="1">
      <w:start w:val="1"/>
      <w:numFmt w:val="bullet"/>
      <w:lvlText w:val="○"/>
      <w:lvlJc w:val="left"/>
      <w:pPr>
        <w:ind w:left="1440" w:hanging="360"/>
      </w:pPr>
      <w:rPr>
        <w:rFonts w:ascii="Arial" w:eastAsia="Arial" w:hAnsi="Arial" w:cs="Arial"/>
        <w:color w:val="1F1F1F"/>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614C81"/>
    <w:multiLevelType w:val="multilevel"/>
    <w:tmpl w:val="5EB25236"/>
    <w:lvl w:ilvl="0">
      <w:start w:val="1"/>
      <w:numFmt w:val="bullet"/>
      <w:lvlText w:val="●"/>
      <w:lvlJc w:val="left"/>
      <w:pPr>
        <w:ind w:left="720" w:hanging="360"/>
      </w:pPr>
      <w:rPr>
        <w:rFonts w:ascii="Arial" w:eastAsia="Arial" w:hAnsi="Arial" w:cs="Arial"/>
        <w:color w:val="1F1F1F"/>
        <w:sz w:val="24"/>
        <w:szCs w:val="24"/>
        <w:u w:val="none"/>
      </w:rPr>
    </w:lvl>
    <w:lvl w:ilvl="1">
      <w:start w:val="1"/>
      <w:numFmt w:val="bullet"/>
      <w:lvlText w:val="○"/>
      <w:lvlJc w:val="left"/>
      <w:pPr>
        <w:ind w:left="1440" w:hanging="360"/>
      </w:pPr>
      <w:rPr>
        <w:rFonts w:ascii="Arial" w:eastAsia="Arial" w:hAnsi="Arial" w:cs="Arial"/>
        <w:color w:val="1F1F1F"/>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04095104">
    <w:abstractNumId w:val="1"/>
  </w:num>
  <w:num w:numId="2" w16cid:durableId="1805582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0AC"/>
    <w:rsid w:val="000700AC"/>
    <w:rsid w:val="009609DF"/>
    <w:rsid w:val="00A04F63"/>
    <w:rsid w:val="00D169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6E0FD"/>
  <w15:docId w15:val="{ACB74B61-BE9B-4EF0-94DF-84A5B4222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430</Words>
  <Characters>2368</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Heijst, D.P. van (Dennis) (OSBE_ITOP)</dc:creator>
  <cp:lastModifiedBy>Natascha Gutterswijk</cp:lastModifiedBy>
  <cp:revision>3</cp:revision>
  <dcterms:created xsi:type="dcterms:W3CDTF">2024-06-06T06:20:00Z</dcterms:created>
  <dcterms:modified xsi:type="dcterms:W3CDTF">2024-06-06T06:25:00Z</dcterms:modified>
</cp:coreProperties>
</file>